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439" w:rsidRPr="00CD44B0" w:rsidRDefault="00F63439" w:rsidP="00F63439">
      <w:pPr>
        <w:pStyle w:val="Heading1"/>
      </w:pPr>
      <w:r w:rsidRPr="00CD44B0">
        <w:t>Metadata for SDG indicators</w:t>
      </w:r>
      <w:r>
        <w:t xml:space="preserve"> for target 9.5</w:t>
      </w:r>
    </w:p>
    <w:p w:rsidR="00F63439" w:rsidRDefault="00F63439" w:rsidP="00F63439"/>
    <w:p w:rsidR="00F63439" w:rsidRDefault="00F63439" w:rsidP="00F63439">
      <w:pPr>
        <w:rPr>
          <w:b/>
        </w:rPr>
      </w:pPr>
      <w:r>
        <w:rPr>
          <w:b/>
        </w:rPr>
        <w:t>Indicator 9.5.1</w:t>
      </w:r>
    </w:p>
    <w:p w:rsidR="00F63439" w:rsidRPr="00CD44B0" w:rsidRDefault="00F63439" w:rsidP="00F63439">
      <w:pPr>
        <w:rPr>
          <w:b/>
        </w:rPr>
      </w:pPr>
      <w:r w:rsidRPr="00CD44B0">
        <w:rPr>
          <w:b/>
        </w:rPr>
        <w:t>Preliminary metadata for “R&amp;D expenditure as a % of GDP” and “Researchers per million inhabitants (in head counts)”</w:t>
      </w:r>
    </w:p>
    <w:p w:rsidR="00F63439" w:rsidRDefault="00F63439" w:rsidP="00F63439">
      <w:pPr>
        <w:numPr>
          <w:ilvl w:val="0"/>
          <w:numId w:val="1"/>
        </w:numPr>
        <w:spacing w:after="0"/>
        <w:jc w:val="both"/>
      </w:pPr>
      <w:r w:rsidRPr="00CD44B0">
        <w:t>Goal and target addressed;</w:t>
      </w:r>
    </w:p>
    <w:p w:rsidR="00F63439" w:rsidRDefault="00F63439" w:rsidP="00F63439">
      <w:r>
        <w:t xml:space="preserve">Goal 9 </w:t>
      </w:r>
      <w:r w:rsidRPr="00C443B1">
        <w:t>Build resilient infrastructure, promote inclusive and sustainable industrialization and foster innovation</w:t>
      </w:r>
    </w:p>
    <w:p w:rsidR="00F63439" w:rsidRDefault="00F63439" w:rsidP="00F63439">
      <w:r>
        <w:t xml:space="preserve">Target </w:t>
      </w:r>
      <w:r w:rsidRPr="00CD44B0">
        <w:t>9.5 Enhance scientific research, upgrade the technological capabilities of industrial sectors in all countries, in particular developing countries, including, by 2030, encouraging innovation and increasing the number of research and development workers per 1 million people by [x] per cent and public and private research and development spending</w:t>
      </w:r>
    </w:p>
    <w:p w:rsidR="00F63439" w:rsidRDefault="00F63439" w:rsidP="00F63439">
      <w:pPr>
        <w:numPr>
          <w:ilvl w:val="0"/>
          <w:numId w:val="1"/>
        </w:numPr>
        <w:spacing w:after="0"/>
        <w:jc w:val="both"/>
      </w:pPr>
      <w:r w:rsidRPr="00CD44B0">
        <w:t xml:space="preserve">Definition and method of computation; </w:t>
      </w:r>
    </w:p>
    <w:p w:rsidR="00F63439" w:rsidRDefault="00F63439" w:rsidP="00F63439">
      <w:r>
        <w:t xml:space="preserve">The OECD </w:t>
      </w:r>
      <w:proofErr w:type="spellStart"/>
      <w:r>
        <w:t>Frascati</w:t>
      </w:r>
      <w:proofErr w:type="spellEnd"/>
      <w:r>
        <w:t xml:space="preserve"> Manual provides the relevant definitions for research and experimental development, gross domestic expenditure on R&amp;D and researchers. </w:t>
      </w:r>
    </w:p>
    <w:p w:rsidR="00F63439" w:rsidRPr="008B3CC3" w:rsidRDefault="00F63439" w:rsidP="00F63439">
      <w:r w:rsidRPr="0027534A">
        <w:rPr>
          <w:bCs/>
          <w:i/>
        </w:rPr>
        <w:t>Research and experimental development (R&amp;D)</w:t>
      </w:r>
      <w:r w:rsidRPr="008B3CC3">
        <w:t xml:space="preserve"> comprise creative work undertaken on a systematic basis in order to increase the stock of knowledge, including knowledge of man, culture and society, and the use of this stock of knowledge to devise new applications. (FM §63)</w:t>
      </w:r>
    </w:p>
    <w:p w:rsidR="00F63439" w:rsidRPr="008B3CC3" w:rsidRDefault="00F63439" w:rsidP="00F63439">
      <w:r w:rsidRPr="0027534A">
        <w:rPr>
          <w:bCs/>
          <w:i/>
        </w:rPr>
        <w:t>Intramural expenditures</w:t>
      </w:r>
      <w:r w:rsidRPr="008B3CC3">
        <w:t xml:space="preserve"> are all expenditures for R&amp;D performed within a statistical unit or sector of the economy during a specific period, whatever the source of funds. (FM §358)</w:t>
      </w:r>
    </w:p>
    <w:p w:rsidR="00F63439" w:rsidRPr="008B3CC3" w:rsidRDefault="00F63439" w:rsidP="00F63439">
      <w:pPr>
        <w:rPr>
          <w:lang w:val="en-US"/>
        </w:rPr>
      </w:pPr>
      <w:r w:rsidRPr="0027534A">
        <w:rPr>
          <w:bCs/>
          <w:i/>
        </w:rPr>
        <w:t>Researchers</w:t>
      </w:r>
      <w:r w:rsidRPr="008B3CC3">
        <w:t xml:space="preserve"> are professionals engaged in the conception or creation of new knowledge, products, processes, methods and systems and also in the management of the projects concerned. (FM §301)</w:t>
      </w:r>
    </w:p>
    <w:p w:rsidR="00F63439" w:rsidRDefault="00F63439" w:rsidP="00F63439">
      <w:r>
        <w:t xml:space="preserve">Although an OECD manual, the application is global. The </w:t>
      </w:r>
      <w:proofErr w:type="spellStart"/>
      <w:r>
        <w:t>Frascati</w:t>
      </w:r>
      <w:proofErr w:type="spellEnd"/>
      <w:r>
        <w:t xml:space="preserve"> Manual is currently under revision, with the next edition to be released in October 2015. The new edition of the Manual will be a truly global manual. There will be some changes to the definitions provided above, but </w:t>
      </w:r>
      <w:proofErr w:type="gramStart"/>
      <w:r>
        <w:t>these</w:t>
      </w:r>
      <w:proofErr w:type="gramEnd"/>
      <w:r>
        <w:t xml:space="preserve"> are not substantial.</w:t>
      </w:r>
    </w:p>
    <w:p w:rsidR="00F63439" w:rsidRPr="00CD44B0" w:rsidRDefault="00F63439" w:rsidP="00F63439"/>
    <w:p w:rsidR="00F63439" w:rsidRDefault="00F63439" w:rsidP="00F63439">
      <w:pPr>
        <w:numPr>
          <w:ilvl w:val="0"/>
          <w:numId w:val="1"/>
        </w:numPr>
        <w:spacing w:after="0"/>
        <w:jc w:val="both"/>
      </w:pPr>
      <w:r w:rsidRPr="00CD44B0">
        <w:lastRenderedPageBreak/>
        <w:t>Rationale and interpretation;</w:t>
      </w:r>
    </w:p>
    <w:p w:rsidR="00F63439" w:rsidRDefault="00F63439" w:rsidP="00F63439">
      <w:r>
        <w:t>(</w:t>
      </w:r>
      <w:proofErr w:type="gramStart"/>
      <w:r>
        <w:t>will</w:t>
      </w:r>
      <w:proofErr w:type="gramEnd"/>
      <w:r>
        <w:t xml:space="preserve"> follow later)</w:t>
      </w:r>
    </w:p>
    <w:p w:rsidR="00F63439" w:rsidRDefault="00F63439" w:rsidP="00F63439">
      <w:pPr>
        <w:numPr>
          <w:ilvl w:val="0"/>
          <w:numId w:val="1"/>
        </w:numPr>
        <w:spacing w:after="0"/>
        <w:jc w:val="both"/>
      </w:pPr>
      <w:r w:rsidRPr="00CD44B0">
        <w:t>Sources and data collection;</w:t>
      </w:r>
    </w:p>
    <w:p w:rsidR="00F63439" w:rsidRDefault="00F63439" w:rsidP="00F63439">
      <w:r>
        <w:t>Data are collected through national R&amp;D surveys, either by the national statistical office or a line ministry (such as the Ministry for Science and Technology)</w:t>
      </w:r>
    </w:p>
    <w:p w:rsidR="00F63439" w:rsidRDefault="00F63439" w:rsidP="00F63439">
      <w:pPr>
        <w:numPr>
          <w:ilvl w:val="0"/>
          <w:numId w:val="1"/>
        </w:numPr>
        <w:spacing w:after="0"/>
        <w:jc w:val="both"/>
      </w:pPr>
      <w:r w:rsidRPr="00CD44B0">
        <w:t>Disaggregation;</w:t>
      </w:r>
    </w:p>
    <w:p w:rsidR="00F63439" w:rsidRDefault="00F63439" w:rsidP="00F63439">
      <w:r>
        <w:t>R&amp;D expenditure can be broken down by sector of performance, source of funds, field of science, type of research and type of cost.</w:t>
      </w:r>
    </w:p>
    <w:p w:rsidR="00F63439" w:rsidRDefault="00F63439" w:rsidP="00F63439">
      <w:r>
        <w:t>Researchers can be broken down by sector of employment, field of science, sex and age, all in head counts and full-time equivalent.</w:t>
      </w:r>
    </w:p>
    <w:p w:rsidR="00F63439" w:rsidRDefault="00F63439" w:rsidP="00F63439">
      <w:pPr>
        <w:numPr>
          <w:ilvl w:val="0"/>
          <w:numId w:val="1"/>
        </w:numPr>
        <w:spacing w:after="0"/>
        <w:jc w:val="both"/>
      </w:pPr>
      <w:r w:rsidRPr="00CD44B0">
        <w:t>Comments and limitations;</w:t>
      </w:r>
    </w:p>
    <w:p w:rsidR="00F63439" w:rsidRDefault="00F63439" w:rsidP="00F63439">
      <w:r>
        <w:t>(</w:t>
      </w:r>
      <w:proofErr w:type="gramStart"/>
      <w:r>
        <w:t>will</w:t>
      </w:r>
      <w:proofErr w:type="gramEnd"/>
      <w:r>
        <w:t xml:space="preserve"> follow)</w:t>
      </w:r>
    </w:p>
    <w:p w:rsidR="00F63439" w:rsidRDefault="00F63439" w:rsidP="00F63439">
      <w:pPr>
        <w:numPr>
          <w:ilvl w:val="0"/>
          <w:numId w:val="1"/>
        </w:numPr>
        <w:spacing w:after="0"/>
        <w:jc w:val="both"/>
      </w:pPr>
      <w:r w:rsidRPr="00CD44B0">
        <w:t>Gender equality issues;</w:t>
      </w:r>
    </w:p>
    <w:p w:rsidR="00F63439" w:rsidRDefault="00F63439" w:rsidP="00F63439">
      <w:r>
        <w:t xml:space="preserve">Researcher data can be broken down by sex, allowing </w:t>
      </w:r>
      <w:proofErr w:type="gramStart"/>
      <w:r>
        <w:t>to track</w:t>
      </w:r>
      <w:proofErr w:type="gramEnd"/>
      <w:r>
        <w:t xml:space="preserve"> gender parity.</w:t>
      </w:r>
    </w:p>
    <w:p w:rsidR="00F63439" w:rsidRDefault="00F63439" w:rsidP="00F63439">
      <w:pPr>
        <w:numPr>
          <w:ilvl w:val="0"/>
          <w:numId w:val="1"/>
        </w:numPr>
        <w:spacing w:after="0"/>
        <w:jc w:val="both"/>
      </w:pPr>
      <w:r w:rsidRPr="00CD44B0">
        <w:t>Data for global and regional monitoring;</w:t>
      </w:r>
    </w:p>
    <w:p w:rsidR="00F63439" w:rsidRDefault="00F63439" w:rsidP="00F63439">
      <w:r>
        <w:t>OECD and Eurostat collect data from their member countries. The UNESCO Institute for Statistics (UIS) imports these data into its global database, and collects the data directly from all other countries in the world, in partnership with RICYT in Latin America and NEPAD in Africa.</w:t>
      </w:r>
    </w:p>
    <w:p w:rsidR="00F63439" w:rsidRDefault="00F63439" w:rsidP="00F63439">
      <w:pPr>
        <w:numPr>
          <w:ilvl w:val="0"/>
          <w:numId w:val="1"/>
        </w:numPr>
        <w:spacing w:after="0"/>
        <w:jc w:val="both"/>
      </w:pPr>
      <w:r w:rsidRPr="00CD44B0">
        <w:t>Supplementary information;</w:t>
      </w:r>
    </w:p>
    <w:p w:rsidR="00F63439" w:rsidRDefault="00F63439" w:rsidP="00F63439">
      <w:r>
        <w:t>(</w:t>
      </w:r>
      <w:proofErr w:type="gramStart"/>
      <w:r>
        <w:t>will</w:t>
      </w:r>
      <w:proofErr w:type="gramEnd"/>
      <w:r>
        <w:t xml:space="preserve"> follow)</w:t>
      </w:r>
    </w:p>
    <w:p w:rsidR="00F63439" w:rsidRDefault="00F63439" w:rsidP="00F63439">
      <w:pPr>
        <w:numPr>
          <w:ilvl w:val="0"/>
          <w:numId w:val="1"/>
        </w:numPr>
        <w:spacing w:after="0"/>
        <w:jc w:val="both"/>
      </w:pPr>
      <w:r w:rsidRPr="00CD44B0">
        <w:t>References</w:t>
      </w:r>
    </w:p>
    <w:p w:rsidR="00F63439" w:rsidRDefault="00F63439" w:rsidP="00F63439">
      <w:proofErr w:type="spellStart"/>
      <w:r>
        <w:t>Frascati</w:t>
      </w:r>
      <w:proofErr w:type="spellEnd"/>
      <w:r>
        <w:t xml:space="preserve"> Manual: </w:t>
      </w:r>
      <w:hyperlink r:id="rId8" w:history="1">
        <w:r>
          <w:rPr>
            <w:rStyle w:val="Hyperlink"/>
          </w:rPr>
          <w:t>www.oecd.org/sti/frascatimanual</w:t>
        </w:r>
      </w:hyperlink>
      <w:r>
        <w:t xml:space="preserve">  and </w:t>
      </w:r>
      <w:hyperlink r:id="rId9" w:history="1">
        <w:r w:rsidRPr="00441D2A">
          <w:rPr>
            <w:rStyle w:val="Hyperlink"/>
          </w:rPr>
          <w:t>http://www.uis.unesco.org/Library/Documents/OECDFrascatiManual02_en.pdf</w:t>
        </w:r>
      </w:hyperlink>
      <w:r>
        <w:t xml:space="preserve"> </w:t>
      </w:r>
    </w:p>
    <w:p w:rsidR="00F63439" w:rsidRDefault="00F63439" w:rsidP="00F63439">
      <w:pPr>
        <w:rPr>
          <w:lang w:val="fr-FR"/>
        </w:rPr>
      </w:pPr>
      <w:r w:rsidRPr="00E55A34">
        <w:rPr>
          <w:lang w:val="fr-FR"/>
        </w:rPr>
        <w:t xml:space="preserve">UIS Data centre: </w:t>
      </w:r>
      <w:hyperlink r:id="rId10" w:history="1">
        <w:r w:rsidRPr="00441D2A">
          <w:rPr>
            <w:rStyle w:val="Hyperlink"/>
            <w:lang w:val="fr-FR"/>
          </w:rPr>
          <w:t>http://data.uis.unesco.org/Index.aspx?DataSetCode=SCN_DS&amp;popupcustomise=true&amp;lang=en</w:t>
        </w:r>
      </w:hyperlink>
      <w:r>
        <w:rPr>
          <w:lang w:val="fr-FR"/>
        </w:rPr>
        <w:t xml:space="preserve"> </w:t>
      </w:r>
      <w:bookmarkStart w:id="0" w:name="_GoBack"/>
      <w:bookmarkEnd w:id="0"/>
    </w:p>
    <w:sectPr w:rsidR="00F63439" w:rsidSect="00CA58E5">
      <w:footerReference w:type="default" r:id="rId11"/>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B28" w:rsidRDefault="008E1B28" w:rsidP="009865E6">
      <w:pPr>
        <w:spacing w:after="0" w:line="240" w:lineRule="auto"/>
      </w:pPr>
      <w:r>
        <w:separator/>
      </w:r>
    </w:p>
  </w:endnote>
  <w:endnote w:type="continuationSeparator" w:id="0">
    <w:p w:rsidR="008E1B28" w:rsidRDefault="008E1B28" w:rsidP="0098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5E6" w:rsidRDefault="00A4262A" w:rsidP="00F63439">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UNESCO-</w:t>
    </w:r>
    <w:r w:rsidR="009865E6">
      <w:rPr>
        <w:rFonts w:asciiTheme="majorHAnsi" w:eastAsiaTheme="majorEastAsia" w:hAnsiTheme="majorHAnsi" w:cstheme="majorBidi"/>
      </w:rPr>
      <w:t xml:space="preserve">UIS </w:t>
    </w:r>
    <w:r w:rsidR="00F63439">
      <w:rPr>
        <w:rFonts w:asciiTheme="majorHAnsi" w:eastAsiaTheme="majorEastAsia" w:hAnsiTheme="majorHAnsi" w:cstheme="majorBidi"/>
      </w:rPr>
      <w:t>Metadata Goals 9, 11, 16 and 17</w:t>
    </w:r>
    <w:r w:rsidR="009865E6">
      <w:rPr>
        <w:rFonts w:asciiTheme="majorHAnsi" w:eastAsiaTheme="majorEastAsia" w:hAnsiTheme="majorHAnsi" w:cstheme="majorBidi"/>
      </w:rPr>
      <w:ptab w:relativeTo="margin" w:alignment="right" w:leader="none"/>
    </w:r>
    <w:r w:rsidR="009865E6">
      <w:rPr>
        <w:rFonts w:asciiTheme="majorHAnsi" w:eastAsiaTheme="majorEastAsia" w:hAnsiTheme="majorHAnsi" w:cstheme="majorBidi"/>
      </w:rPr>
      <w:t xml:space="preserve">Page </w:t>
    </w:r>
    <w:r w:rsidR="009865E6">
      <w:fldChar w:fldCharType="begin"/>
    </w:r>
    <w:r w:rsidR="009865E6">
      <w:instrText xml:space="preserve"> PAGE   \* MERGEFORMAT </w:instrText>
    </w:r>
    <w:r w:rsidR="009865E6">
      <w:fldChar w:fldCharType="separate"/>
    </w:r>
    <w:r w:rsidR="00CF3F05" w:rsidRPr="00CF3F05">
      <w:rPr>
        <w:rFonts w:asciiTheme="majorHAnsi" w:eastAsiaTheme="majorEastAsia" w:hAnsiTheme="majorHAnsi" w:cstheme="majorBidi"/>
        <w:noProof/>
      </w:rPr>
      <w:t>1</w:t>
    </w:r>
    <w:r w:rsidR="009865E6">
      <w:rPr>
        <w:rFonts w:asciiTheme="majorHAnsi" w:eastAsiaTheme="majorEastAsia" w:hAnsiTheme="majorHAnsi" w:cstheme="majorBidi"/>
        <w:noProof/>
      </w:rPr>
      <w:fldChar w:fldCharType="end"/>
    </w:r>
  </w:p>
  <w:p w:rsidR="009865E6" w:rsidRDefault="009865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B28" w:rsidRDefault="008E1B28" w:rsidP="009865E6">
      <w:pPr>
        <w:spacing w:after="0" w:line="240" w:lineRule="auto"/>
      </w:pPr>
      <w:r>
        <w:separator/>
      </w:r>
    </w:p>
  </w:footnote>
  <w:footnote w:type="continuationSeparator" w:id="0">
    <w:p w:rsidR="008E1B28" w:rsidRDefault="008E1B28" w:rsidP="009865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00804"/>
    <w:multiLevelType w:val="hybridMultilevel"/>
    <w:tmpl w:val="889404FC"/>
    <w:lvl w:ilvl="0" w:tplc="0F50D840">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76600591"/>
    <w:multiLevelType w:val="hybridMultilevel"/>
    <w:tmpl w:val="7BB8C800"/>
    <w:lvl w:ilvl="0" w:tplc="18A270C4">
      <w:start w:val="1"/>
      <w:numFmt w:val="bullet"/>
      <w:lvlText w:val="-"/>
      <w:lvlJc w:val="left"/>
      <w:pPr>
        <w:ind w:left="1080" w:hanging="360"/>
      </w:pPr>
      <w:rPr>
        <w:rFonts w:ascii="Calibri" w:eastAsiaTheme="minorEastAsia" w:hAnsi="Calibri" w:cstheme="minorBidi"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8E5"/>
    <w:rsid w:val="0003795E"/>
    <w:rsid w:val="000730AB"/>
    <w:rsid w:val="000D05E1"/>
    <w:rsid w:val="000E320B"/>
    <w:rsid w:val="001316B8"/>
    <w:rsid w:val="001349A2"/>
    <w:rsid w:val="0013644A"/>
    <w:rsid w:val="001B258B"/>
    <w:rsid w:val="001C6573"/>
    <w:rsid w:val="001D5C46"/>
    <w:rsid w:val="003E2C80"/>
    <w:rsid w:val="00433C24"/>
    <w:rsid w:val="00454B2F"/>
    <w:rsid w:val="00480BE3"/>
    <w:rsid w:val="00484272"/>
    <w:rsid w:val="00491B01"/>
    <w:rsid w:val="004C62F4"/>
    <w:rsid w:val="004C71EC"/>
    <w:rsid w:val="004C7B6D"/>
    <w:rsid w:val="004D6536"/>
    <w:rsid w:val="004E7F25"/>
    <w:rsid w:val="00506246"/>
    <w:rsid w:val="00542F0D"/>
    <w:rsid w:val="005B6E39"/>
    <w:rsid w:val="006808F4"/>
    <w:rsid w:val="007E72AD"/>
    <w:rsid w:val="008007AF"/>
    <w:rsid w:val="008370F6"/>
    <w:rsid w:val="008677C5"/>
    <w:rsid w:val="008B4914"/>
    <w:rsid w:val="008E1B28"/>
    <w:rsid w:val="008E1F2B"/>
    <w:rsid w:val="00931BDD"/>
    <w:rsid w:val="00955953"/>
    <w:rsid w:val="009717AF"/>
    <w:rsid w:val="00982488"/>
    <w:rsid w:val="009865E6"/>
    <w:rsid w:val="009A7B12"/>
    <w:rsid w:val="009D7FEE"/>
    <w:rsid w:val="00A00AA6"/>
    <w:rsid w:val="00A4262A"/>
    <w:rsid w:val="00AA2CDA"/>
    <w:rsid w:val="00B4377A"/>
    <w:rsid w:val="00B504C3"/>
    <w:rsid w:val="00C11D78"/>
    <w:rsid w:val="00C12BC0"/>
    <w:rsid w:val="00C572A2"/>
    <w:rsid w:val="00CA58E5"/>
    <w:rsid w:val="00CE0B4A"/>
    <w:rsid w:val="00CF220A"/>
    <w:rsid w:val="00CF3F05"/>
    <w:rsid w:val="00D810DE"/>
    <w:rsid w:val="00E35CA5"/>
    <w:rsid w:val="00EE0D7C"/>
    <w:rsid w:val="00F63439"/>
    <w:rsid w:val="00FB4DB2"/>
    <w:rsid w:val="00FD508A"/>
    <w:rsid w:val="00FF4867"/>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63439"/>
    <w:pPr>
      <w:keepNext/>
      <w:keepLines/>
      <w:spacing w:before="240" w:after="0"/>
      <w:jc w:val="both"/>
      <w:outlineLvl w:val="0"/>
    </w:pPr>
    <w:rPr>
      <w:rFonts w:asciiTheme="majorHAnsi" w:eastAsiaTheme="majorEastAsia" w:hAnsiTheme="majorHAnsi" w:cstheme="majorBidi"/>
      <w:color w:val="365F91"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A7B12"/>
    <w:rPr>
      <w:color w:val="0000FF" w:themeColor="hyperlink"/>
      <w:u w:val="single"/>
    </w:rPr>
  </w:style>
  <w:style w:type="paragraph" w:styleId="Header">
    <w:name w:val="header"/>
    <w:basedOn w:val="Normal"/>
    <w:link w:val="HeaderChar"/>
    <w:uiPriority w:val="99"/>
    <w:unhideWhenUsed/>
    <w:rsid w:val="00986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5E6"/>
  </w:style>
  <w:style w:type="paragraph" w:styleId="Footer">
    <w:name w:val="footer"/>
    <w:basedOn w:val="Normal"/>
    <w:link w:val="FooterChar"/>
    <w:uiPriority w:val="99"/>
    <w:unhideWhenUsed/>
    <w:rsid w:val="00986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5E6"/>
  </w:style>
  <w:style w:type="paragraph" w:styleId="BalloonText">
    <w:name w:val="Balloon Text"/>
    <w:basedOn w:val="Normal"/>
    <w:link w:val="BalloonTextChar"/>
    <w:uiPriority w:val="99"/>
    <w:semiHidden/>
    <w:unhideWhenUsed/>
    <w:rsid w:val="00986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5E6"/>
    <w:rPr>
      <w:rFonts w:ascii="Tahoma" w:hAnsi="Tahoma" w:cs="Tahoma"/>
      <w:sz w:val="16"/>
      <w:szCs w:val="16"/>
    </w:rPr>
  </w:style>
  <w:style w:type="character" w:customStyle="1" w:styleId="Heading1Char">
    <w:name w:val="Heading 1 Char"/>
    <w:basedOn w:val="DefaultParagraphFont"/>
    <w:link w:val="Heading1"/>
    <w:uiPriority w:val="9"/>
    <w:rsid w:val="00F63439"/>
    <w:rPr>
      <w:rFonts w:asciiTheme="majorHAnsi" w:eastAsiaTheme="majorEastAsia" w:hAnsiTheme="majorHAnsi" w:cstheme="majorBidi"/>
      <w:color w:val="365F91" w:themeColor="accent1" w:themeShade="BF"/>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63439"/>
    <w:pPr>
      <w:keepNext/>
      <w:keepLines/>
      <w:spacing w:before="240" w:after="0"/>
      <w:jc w:val="both"/>
      <w:outlineLvl w:val="0"/>
    </w:pPr>
    <w:rPr>
      <w:rFonts w:asciiTheme="majorHAnsi" w:eastAsiaTheme="majorEastAsia" w:hAnsiTheme="majorHAnsi" w:cstheme="majorBidi"/>
      <w:color w:val="365F91"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A7B12"/>
    <w:rPr>
      <w:color w:val="0000FF" w:themeColor="hyperlink"/>
      <w:u w:val="single"/>
    </w:rPr>
  </w:style>
  <w:style w:type="paragraph" w:styleId="Header">
    <w:name w:val="header"/>
    <w:basedOn w:val="Normal"/>
    <w:link w:val="HeaderChar"/>
    <w:uiPriority w:val="99"/>
    <w:unhideWhenUsed/>
    <w:rsid w:val="00986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5E6"/>
  </w:style>
  <w:style w:type="paragraph" w:styleId="Footer">
    <w:name w:val="footer"/>
    <w:basedOn w:val="Normal"/>
    <w:link w:val="FooterChar"/>
    <w:uiPriority w:val="99"/>
    <w:unhideWhenUsed/>
    <w:rsid w:val="00986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5E6"/>
  </w:style>
  <w:style w:type="paragraph" w:styleId="BalloonText">
    <w:name w:val="Balloon Text"/>
    <w:basedOn w:val="Normal"/>
    <w:link w:val="BalloonTextChar"/>
    <w:uiPriority w:val="99"/>
    <w:semiHidden/>
    <w:unhideWhenUsed/>
    <w:rsid w:val="00986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5E6"/>
    <w:rPr>
      <w:rFonts w:ascii="Tahoma" w:hAnsi="Tahoma" w:cs="Tahoma"/>
      <w:sz w:val="16"/>
      <w:szCs w:val="16"/>
    </w:rPr>
  </w:style>
  <w:style w:type="character" w:customStyle="1" w:styleId="Heading1Char">
    <w:name w:val="Heading 1 Char"/>
    <w:basedOn w:val="DefaultParagraphFont"/>
    <w:link w:val="Heading1"/>
    <w:uiPriority w:val="9"/>
    <w:rsid w:val="00F63439"/>
    <w:rPr>
      <w:rFonts w:asciiTheme="majorHAnsi" w:eastAsiaTheme="majorEastAsia" w:hAnsiTheme="majorHAnsi" w:cstheme="majorBidi"/>
      <w:color w:val="365F9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29409">
      <w:bodyDiv w:val="1"/>
      <w:marLeft w:val="0"/>
      <w:marRight w:val="0"/>
      <w:marTop w:val="0"/>
      <w:marBottom w:val="0"/>
      <w:divBdr>
        <w:top w:val="none" w:sz="0" w:space="0" w:color="auto"/>
        <w:left w:val="none" w:sz="0" w:space="0" w:color="auto"/>
        <w:bottom w:val="none" w:sz="0" w:space="0" w:color="auto"/>
        <w:right w:val="none" w:sz="0" w:space="0" w:color="auto"/>
      </w:divBdr>
    </w:div>
    <w:div w:id="154541376">
      <w:bodyDiv w:val="1"/>
      <w:marLeft w:val="0"/>
      <w:marRight w:val="0"/>
      <w:marTop w:val="0"/>
      <w:marBottom w:val="0"/>
      <w:divBdr>
        <w:top w:val="none" w:sz="0" w:space="0" w:color="auto"/>
        <w:left w:val="none" w:sz="0" w:space="0" w:color="auto"/>
        <w:bottom w:val="none" w:sz="0" w:space="0" w:color="auto"/>
        <w:right w:val="none" w:sz="0" w:space="0" w:color="auto"/>
      </w:divBdr>
    </w:div>
    <w:div w:id="293752538">
      <w:bodyDiv w:val="1"/>
      <w:marLeft w:val="0"/>
      <w:marRight w:val="0"/>
      <w:marTop w:val="0"/>
      <w:marBottom w:val="0"/>
      <w:divBdr>
        <w:top w:val="none" w:sz="0" w:space="0" w:color="auto"/>
        <w:left w:val="none" w:sz="0" w:space="0" w:color="auto"/>
        <w:bottom w:val="none" w:sz="0" w:space="0" w:color="auto"/>
        <w:right w:val="none" w:sz="0" w:space="0" w:color="auto"/>
      </w:divBdr>
    </w:div>
    <w:div w:id="482428765">
      <w:bodyDiv w:val="1"/>
      <w:marLeft w:val="0"/>
      <w:marRight w:val="0"/>
      <w:marTop w:val="0"/>
      <w:marBottom w:val="0"/>
      <w:divBdr>
        <w:top w:val="none" w:sz="0" w:space="0" w:color="auto"/>
        <w:left w:val="none" w:sz="0" w:space="0" w:color="auto"/>
        <w:bottom w:val="none" w:sz="0" w:space="0" w:color="auto"/>
        <w:right w:val="none" w:sz="0" w:space="0" w:color="auto"/>
      </w:divBdr>
    </w:div>
    <w:div w:id="521355626">
      <w:bodyDiv w:val="1"/>
      <w:marLeft w:val="0"/>
      <w:marRight w:val="0"/>
      <w:marTop w:val="0"/>
      <w:marBottom w:val="0"/>
      <w:divBdr>
        <w:top w:val="none" w:sz="0" w:space="0" w:color="auto"/>
        <w:left w:val="none" w:sz="0" w:space="0" w:color="auto"/>
        <w:bottom w:val="none" w:sz="0" w:space="0" w:color="auto"/>
        <w:right w:val="none" w:sz="0" w:space="0" w:color="auto"/>
      </w:divBdr>
    </w:div>
    <w:div w:id="729309355">
      <w:bodyDiv w:val="1"/>
      <w:marLeft w:val="0"/>
      <w:marRight w:val="0"/>
      <w:marTop w:val="0"/>
      <w:marBottom w:val="0"/>
      <w:divBdr>
        <w:top w:val="none" w:sz="0" w:space="0" w:color="auto"/>
        <w:left w:val="none" w:sz="0" w:space="0" w:color="auto"/>
        <w:bottom w:val="none" w:sz="0" w:space="0" w:color="auto"/>
        <w:right w:val="none" w:sz="0" w:space="0" w:color="auto"/>
      </w:divBdr>
    </w:div>
    <w:div w:id="827600402">
      <w:bodyDiv w:val="1"/>
      <w:marLeft w:val="0"/>
      <w:marRight w:val="0"/>
      <w:marTop w:val="0"/>
      <w:marBottom w:val="0"/>
      <w:divBdr>
        <w:top w:val="none" w:sz="0" w:space="0" w:color="auto"/>
        <w:left w:val="none" w:sz="0" w:space="0" w:color="auto"/>
        <w:bottom w:val="none" w:sz="0" w:space="0" w:color="auto"/>
        <w:right w:val="none" w:sz="0" w:space="0" w:color="auto"/>
      </w:divBdr>
    </w:div>
    <w:div w:id="897323559">
      <w:bodyDiv w:val="1"/>
      <w:marLeft w:val="0"/>
      <w:marRight w:val="0"/>
      <w:marTop w:val="0"/>
      <w:marBottom w:val="0"/>
      <w:divBdr>
        <w:top w:val="none" w:sz="0" w:space="0" w:color="auto"/>
        <w:left w:val="none" w:sz="0" w:space="0" w:color="auto"/>
        <w:bottom w:val="none" w:sz="0" w:space="0" w:color="auto"/>
        <w:right w:val="none" w:sz="0" w:space="0" w:color="auto"/>
      </w:divBdr>
    </w:div>
    <w:div w:id="1105076423">
      <w:bodyDiv w:val="1"/>
      <w:marLeft w:val="0"/>
      <w:marRight w:val="0"/>
      <w:marTop w:val="0"/>
      <w:marBottom w:val="0"/>
      <w:divBdr>
        <w:top w:val="none" w:sz="0" w:space="0" w:color="auto"/>
        <w:left w:val="none" w:sz="0" w:space="0" w:color="auto"/>
        <w:bottom w:val="none" w:sz="0" w:space="0" w:color="auto"/>
        <w:right w:val="none" w:sz="0" w:space="0" w:color="auto"/>
      </w:divBdr>
    </w:div>
    <w:div w:id="12547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ecd.org/sti/frascatimanua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ata.uis.unesco.org/Index.aspx?DataSetCode=SCN_DS&amp;popupcustomise=true&amp;lang=en" TargetMode="External"/><Relationship Id="rId4" Type="http://schemas.openxmlformats.org/officeDocument/2006/relationships/settings" Target="settings.xml"/><Relationship Id="rId9" Type="http://schemas.openxmlformats.org/officeDocument/2006/relationships/hyperlink" Target="http://www.uis.unesco.org/Library/Documents/OECDFrascatiManual02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UNESCO</Company>
  <LinksUpToDate>false</LinksUpToDate>
  <CharactersWithSpaces>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Pessoa, José</dc:creator>
  <cp:lastModifiedBy>Benjamin Rae</cp:lastModifiedBy>
  <cp:revision>2</cp:revision>
  <cp:lastPrinted>2015-05-14T18:11:00Z</cp:lastPrinted>
  <dcterms:created xsi:type="dcterms:W3CDTF">2015-05-19T19:36:00Z</dcterms:created>
  <dcterms:modified xsi:type="dcterms:W3CDTF">2015-05-19T19:36:00Z</dcterms:modified>
</cp:coreProperties>
</file>